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44"/>
        <w:gridCol w:w="5176"/>
        <w:gridCol w:w="169"/>
        <w:gridCol w:w="94"/>
        <w:gridCol w:w="407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5CBC050" w:rsidR="00093CA9" w:rsidRDefault="00345DBE" w:rsidP="00093CA9">
            <w:r>
              <w:t>JSA Advocates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3AB84A0" w:rsidR="00093CA9" w:rsidRDefault="00384F24" w:rsidP="00093CA9">
            <w:r w:rsidRPr="00384F24">
              <w:t>The Plastic Waste Management Rules, 2016 (as amended)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3FABEDE" w14:textId="77777777" w:rsidR="00093CA9" w:rsidRDefault="00CC673F" w:rsidP="00CC673F">
            <w:pPr>
              <w:pStyle w:val="ListParagraph"/>
              <w:numPr>
                <w:ilvl w:val="0"/>
                <w:numId w:val="60"/>
              </w:numPr>
            </w:pPr>
            <w:hyperlink r:id="rId17" w:history="1">
              <w:r w:rsidRPr="00D12E16">
                <w:rPr>
                  <w:rStyle w:val="Hyperlink"/>
                </w:rPr>
                <w:t>https://web.archive.org/web/20250708122725/https://moef.gov.in/storage/tender/GSR201(E)-%5B14032024%5D-Plastic-Waste-Mangement-Rules-2024.pdf</w:t>
              </w:r>
            </w:hyperlink>
            <w:r>
              <w:t xml:space="preserve"> </w:t>
            </w:r>
          </w:p>
          <w:p w14:paraId="1523C232" w14:textId="20744CE2" w:rsidR="00CC673F" w:rsidRDefault="00BC6263" w:rsidP="00CC673F">
            <w:pPr>
              <w:pStyle w:val="ListParagraph"/>
              <w:numPr>
                <w:ilvl w:val="0"/>
                <w:numId w:val="60"/>
              </w:numPr>
            </w:pPr>
            <w:hyperlink r:id="rId18" w:history="1">
              <w:r w:rsidRPr="00D12E16">
                <w:rPr>
                  <w:rStyle w:val="Hyperlink"/>
                </w:rPr>
                <w:t>https://web.archive.org/web/20250708123214/https://cpcb.nic.in/rules-4/</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509A94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A84D261" w:rsidR="00093CA9" w:rsidRDefault="00103C53"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F854569"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8C0593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487967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6C419B2" w14:textId="18B7E1B6" w:rsidR="0004415C" w:rsidRDefault="0004415C" w:rsidP="0004415C">
            <w:pPr>
              <w:jc w:val="both"/>
            </w:pPr>
            <w:r>
              <w:t>The Plastic Waste Management Rules, 2016 (“PWM Rules”), as amended in 2021, 2022, and 2024, constitute a statutory framework notified under the Environment (Protection) Act, 1986 by the Ministry of Environment, Forest and Climate Change (</w:t>
            </w:r>
            <w:proofErr w:type="spellStart"/>
            <w:r>
              <w:t>MoEFCC</w:t>
            </w:r>
            <w:proofErr w:type="spellEnd"/>
            <w:r>
              <w:t>). The Rules aim to regulate the generation, segregation, collection, recycling, reuse, and disposal of plastic waste, and establish the Extended Producer Responsibility (EPR) mechanism for producers, importers, and brand owners (PIBOs).</w:t>
            </w:r>
          </w:p>
          <w:p w14:paraId="74FD27D3" w14:textId="14570A96" w:rsidR="0004415C" w:rsidRDefault="0004415C" w:rsidP="0004415C">
            <w:pPr>
              <w:jc w:val="both"/>
            </w:pPr>
            <w:r>
              <w:t>The primary objective of the PWM Rules is to facilitate a transition towards a circular economy by reducing single-use plastics, enhancing recyclability, encouraging the use of compostable and biodegradable alternatives, and ensuring the environmentally sound management of plastic waste.</w:t>
            </w:r>
          </w:p>
          <w:p w14:paraId="18257824" w14:textId="027717FA" w:rsidR="00093CA9" w:rsidRDefault="0004415C" w:rsidP="00DF73E8">
            <w:pPr>
              <w:jc w:val="both"/>
            </w:pPr>
            <w:r>
              <w:t>The Rules are relevant to the "Transition" domain under the Oxford taxonomy, as they mandate structural and behavioural changes across the plastic value chain, impacting a wide range of stakeholders including PIBOs, plastic manufacturers, local authorities, waste processors, and recyclers.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C28D7D2" w:rsidR="00093CA9" w:rsidRDefault="0031181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AF01E46" w:rsidR="00093CA9" w:rsidRPr="00173D7C" w:rsidRDefault="00846414" w:rsidP="00093CA9">
            <w:pPr>
              <w:rPr>
                <w:color w:val="000000" w:themeColor="text1"/>
              </w:rPr>
            </w:pPr>
            <w:r>
              <w:rPr>
                <w:color w:val="000000" w:themeColor="text1"/>
              </w:rPr>
              <w:t>2016</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332F79A" w:rsidR="00093CA9" w:rsidRPr="00173D7C" w:rsidRDefault="004E6E88" w:rsidP="00093CA9">
            <w:pPr>
              <w:rPr>
                <w:color w:val="000000" w:themeColor="text1"/>
              </w:rPr>
            </w:pPr>
            <w:r>
              <w:rPr>
                <w:color w:val="000000" w:themeColor="text1"/>
              </w:rPr>
              <w:t>2016</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C57DF4E" w:rsidR="00093CA9" w:rsidRDefault="004E6E88" w:rsidP="00093CA9">
            <w:r w:rsidRPr="004E6E88">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6590D9E" w:rsidR="00093CA9" w:rsidRPr="006B7B0D" w:rsidRDefault="00260D0C" w:rsidP="00B51093">
            <w:r>
              <w:t>Central Pollution Control Board (CPCB)</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1951342" w:rsidR="00093CA9" w:rsidRPr="006B7B0D" w:rsidRDefault="009E5E1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5DBB2EA" w:rsidR="00093CA9" w:rsidRPr="006B7B0D" w:rsidRDefault="00B51093" w:rsidP="00B51093">
            <w:r>
              <w:t>Concerned State Pollution Control Boards (SPCBs) or Union Territory PCCs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55A3B84D" w:rsidR="00093CA9" w:rsidRPr="006B7B0D" w:rsidRDefault="009E5E18"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031E0E7" w:rsidR="00093CA9" w:rsidRPr="006B7B0D" w:rsidRDefault="00B51093" w:rsidP="00B51093">
            <w:r>
              <w:t>Urban Local Bodies (for waste segregation, collection, processing)</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0BE2C816" w:rsidR="00093CA9" w:rsidRPr="006B7B0D" w:rsidRDefault="009E5E18"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3EAAF41A" w:rsidR="00093CA9" w:rsidRPr="006B7B0D" w:rsidRDefault="00B51093" w:rsidP="00B51093">
            <w:r>
              <w:t>Gram Panchayats (for rural area implementation)</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2141D412" w:rsidR="00093CA9" w:rsidRPr="006B7B0D" w:rsidRDefault="00B23BF0" w:rsidP="00093CA9">
            <w:r>
              <w:t>X</w:t>
            </w:r>
          </w:p>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5A7E3840" w:rsidR="00093CA9" w:rsidRPr="006B7B0D" w:rsidRDefault="00B51093" w:rsidP="00093CA9">
            <w:proofErr w:type="spellStart"/>
            <w:r>
              <w:t>MoEFCC</w:t>
            </w:r>
            <w:proofErr w:type="spellEnd"/>
            <w:r>
              <w:t xml:space="preserve"> (as policymaker and principal regulator)</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59BEB6B7" w:rsidR="00093CA9" w:rsidRPr="006B7B0D" w:rsidRDefault="00B23BF0" w:rsidP="00093CA9">
            <w:r>
              <w:t>X</w:t>
            </w:r>
          </w:p>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52E0F3EC" w14:textId="432F0CE1" w:rsidR="0004415C" w:rsidRDefault="0004415C" w:rsidP="0004415C">
            <w:pPr>
              <w:jc w:val="both"/>
            </w:pPr>
            <w:r>
              <w:t>The capacity classifications of key implementing authorities under the Plastic Waste Management Rules, 2016 are based on the following considerations:</w:t>
            </w:r>
          </w:p>
          <w:p w14:paraId="18ED4706" w14:textId="37343F5E" w:rsidR="0004415C" w:rsidRDefault="0004415C" w:rsidP="0004415C">
            <w:pPr>
              <w:jc w:val="both"/>
            </w:pPr>
            <w:r>
              <w:t>a) Central Pollution Control Board (CPCB) – High Capacity: As the national regulatory authority, CPCB is well-resourced and has the statutory mandate to issue guidelines, coordinate the implementation of the EPR framework, and monitor compliance at the national level, including oversight of State-level performance.</w:t>
            </w:r>
          </w:p>
          <w:p w14:paraId="2C8FD230" w14:textId="52DFCCA7" w:rsidR="0004415C" w:rsidRDefault="0004415C" w:rsidP="0004415C">
            <w:pPr>
              <w:jc w:val="both"/>
            </w:pPr>
            <w:r>
              <w:lastRenderedPageBreak/>
              <w:t>b) State Pollution Control Boards (SPCBs) – Medium Capacity: Capacity among SPCBs varies significantly across states. Many SPCBs face challenges such as understaffing, limited technical expertise, and inconsistent enforcement, which affect uniform implementation of the Rules.</w:t>
            </w:r>
          </w:p>
          <w:p w14:paraId="416DB3B1" w14:textId="3911622D" w:rsidR="0004415C" w:rsidRDefault="0004415C" w:rsidP="0004415C">
            <w:pPr>
              <w:jc w:val="both"/>
            </w:pPr>
            <w:r>
              <w:t>c) Urban Local Bodies (ULBs) – Medium Capacity: ULBs are responsible for collection, segregation, transportation, and disposal of plastic waste. While certain municipal corporations have established waste management systems, a majority experience operational inefficiencies, infrastructure gaps, and shortage of trained personnel.</w:t>
            </w:r>
          </w:p>
          <w:p w14:paraId="5801183C" w14:textId="77777777" w:rsidR="00371844" w:rsidRDefault="0004415C" w:rsidP="00371844">
            <w:pPr>
              <w:jc w:val="both"/>
            </w:pPr>
            <w:r>
              <w:t>d) Gram Panchayats – Low Capacity: In rural areas, Gram Panchayats often lack dedicated staff, basic waste management infrastructure, and awareness of compliance obligations, resulting in significant limitations in effective implementation.</w:t>
            </w:r>
          </w:p>
          <w:p w14:paraId="42D06D03" w14:textId="5C1F6401" w:rsidR="00093CA9" w:rsidRDefault="00371844" w:rsidP="00371844">
            <w:pPr>
              <w:jc w:val="both"/>
            </w:pPr>
            <w:r>
              <w:t xml:space="preserve">e) </w:t>
            </w:r>
            <w:r w:rsidR="0004415C">
              <w:t>Ministry of Environment, Forest and Climate Change (</w:t>
            </w:r>
            <w:proofErr w:type="spellStart"/>
            <w:r w:rsidR="0004415C">
              <w:t>MoEFCC</w:t>
            </w:r>
            <w:proofErr w:type="spellEnd"/>
            <w:r w:rsidR="0004415C">
              <w:t xml:space="preserve">) – High Capacity: As the </w:t>
            </w:r>
            <w:r>
              <w:t>policymaking</w:t>
            </w:r>
            <w:r w:rsidR="0004415C">
              <w:t xml:space="preserve"> and rule-issuing authority, </w:t>
            </w:r>
            <w:proofErr w:type="spellStart"/>
            <w:r w:rsidR="0004415C">
              <w:t>MoEFCC</w:t>
            </w:r>
            <w:proofErr w:type="spellEnd"/>
            <w:r w:rsidR="0004415C">
              <w:t xml:space="preserve"> possesses the legal, institutional, and administrative capacity to oversee national implementation. However, execution responsibilities are delegated to subordinate agencies at the central, state, and local levels.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1FD9761" w:rsidR="00093CA9" w:rsidRDefault="004B364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656ECB1" w14:textId="56CE67AE" w:rsidR="00D26D2A" w:rsidRPr="00D26D2A" w:rsidRDefault="00D26D2A" w:rsidP="00D26D2A">
            <w:pPr>
              <w:keepNext/>
              <w:jc w:val="both"/>
              <w:rPr>
                <w:color w:val="000000" w:themeColor="text1"/>
                <w:lang w:val="en-IN"/>
              </w:rPr>
            </w:pPr>
            <w:r w:rsidRPr="00D26D2A">
              <w:rPr>
                <w:color w:val="000000" w:themeColor="text1"/>
                <w:lang w:val="en-IN"/>
              </w:rPr>
              <w:t>The Plastic Waste Management Rules, 2016 (as amended) establish a multi-tiered monitoring framework:</w:t>
            </w:r>
          </w:p>
          <w:p w14:paraId="6FC2F83F" w14:textId="77777777" w:rsidR="00D26D2A" w:rsidRPr="00DF73E8" w:rsidRDefault="00D26D2A" w:rsidP="00DF73E8">
            <w:pPr>
              <w:pStyle w:val="ListParagraph"/>
              <w:keepNext/>
              <w:numPr>
                <w:ilvl w:val="0"/>
                <w:numId w:val="57"/>
              </w:numPr>
              <w:jc w:val="both"/>
              <w:rPr>
                <w:color w:val="000000" w:themeColor="text1"/>
                <w:lang w:val="en-IN"/>
              </w:rPr>
            </w:pPr>
            <w:r w:rsidRPr="00DF73E8">
              <w:rPr>
                <w:color w:val="000000" w:themeColor="text1"/>
                <w:lang w:val="en-IN"/>
              </w:rPr>
              <w:t xml:space="preserve">Urban Local Bodies are required under Rules 6(5) and 6(6) to conduct annual assessments of plastic waste generation and infrastructure </w:t>
            </w:r>
            <w:proofErr w:type="gramStart"/>
            <w:r w:rsidRPr="00DF73E8">
              <w:rPr>
                <w:color w:val="000000" w:themeColor="text1"/>
                <w:lang w:val="en-IN"/>
              </w:rPr>
              <w:t>adequacy, and</w:t>
            </w:r>
            <w:proofErr w:type="gramEnd"/>
            <w:r w:rsidRPr="00DF73E8">
              <w:rPr>
                <w:color w:val="000000" w:themeColor="text1"/>
                <w:lang w:val="en-IN"/>
              </w:rPr>
              <w:t xml:space="preserve"> submit reports to the State Pollution Control Boards (SPCBs) by 30th June. Rule 6(8) mandates inclusion of projections, bye-law implementation status, and enforcement actions.</w:t>
            </w:r>
          </w:p>
          <w:p w14:paraId="7EE81795" w14:textId="77777777" w:rsidR="00D26D2A" w:rsidRPr="00DF73E8" w:rsidRDefault="00D26D2A" w:rsidP="00DF73E8">
            <w:pPr>
              <w:pStyle w:val="ListParagraph"/>
              <w:keepNext/>
              <w:numPr>
                <w:ilvl w:val="0"/>
                <w:numId w:val="57"/>
              </w:numPr>
              <w:jc w:val="both"/>
              <w:rPr>
                <w:color w:val="000000" w:themeColor="text1"/>
                <w:lang w:val="en-IN"/>
              </w:rPr>
            </w:pPr>
            <w:r w:rsidRPr="00DF73E8">
              <w:rPr>
                <w:color w:val="000000" w:themeColor="text1"/>
                <w:lang w:val="en-IN"/>
              </w:rPr>
              <w:t>District Panchayats must submit parallel reports under Rules 7-</w:t>
            </w:r>
            <w:proofErr w:type="gramStart"/>
            <w:r w:rsidRPr="00DF73E8">
              <w:rPr>
                <w:color w:val="000000" w:themeColor="text1"/>
                <w:lang w:val="en-IN"/>
              </w:rPr>
              <w:t>A(</w:t>
            </w:r>
            <w:proofErr w:type="gramEnd"/>
            <w:r w:rsidRPr="00DF73E8">
              <w:rPr>
                <w:color w:val="000000" w:themeColor="text1"/>
                <w:lang w:val="en-IN"/>
              </w:rPr>
              <w:t>1) to 7-</w:t>
            </w:r>
            <w:proofErr w:type="gramStart"/>
            <w:r w:rsidRPr="00DF73E8">
              <w:rPr>
                <w:color w:val="000000" w:themeColor="text1"/>
                <w:lang w:val="en-IN"/>
              </w:rPr>
              <w:t>A(</w:t>
            </w:r>
            <w:proofErr w:type="gramEnd"/>
            <w:r w:rsidRPr="00DF73E8">
              <w:rPr>
                <w:color w:val="000000" w:themeColor="text1"/>
                <w:lang w:val="en-IN"/>
              </w:rPr>
              <w:t>3).</w:t>
            </w:r>
          </w:p>
          <w:p w14:paraId="6E1A5217" w14:textId="73CF505A" w:rsidR="00D26D2A" w:rsidRPr="00DF73E8" w:rsidRDefault="00D26D2A" w:rsidP="00DF73E8">
            <w:pPr>
              <w:pStyle w:val="ListParagraph"/>
              <w:keepNext/>
              <w:numPr>
                <w:ilvl w:val="0"/>
                <w:numId w:val="57"/>
              </w:numPr>
              <w:jc w:val="both"/>
              <w:rPr>
                <w:color w:val="000000" w:themeColor="text1"/>
                <w:lang w:val="en-IN"/>
              </w:rPr>
            </w:pPr>
            <w:r w:rsidRPr="00DF73E8">
              <w:rPr>
                <w:color w:val="000000" w:themeColor="text1"/>
                <w:lang w:val="en-IN"/>
              </w:rPr>
              <w:t>Manufacturers must report pre-consumer waste under Rule 4(5). Producers of compostable or biodegradable plastics must report quantities introduced and waste generated to the Central Pollution Control Board (CPCB) under Rule 4(3-A).</w:t>
            </w:r>
          </w:p>
          <w:p w14:paraId="0A66779F" w14:textId="77777777" w:rsidR="00D26D2A" w:rsidRDefault="00D26D2A" w:rsidP="00D26D2A">
            <w:pPr>
              <w:pStyle w:val="ListParagraph"/>
              <w:keepNext/>
              <w:numPr>
                <w:ilvl w:val="0"/>
                <w:numId w:val="57"/>
              </w:numPr>
              <w:jc w:val="both"/>
              <w:rPr>
                <w:color w:val="000000" w:themeColor="text1"/>
                <w:lang w:val="en-IN"/>
              </w:rPr>
            </w:pPr>
            <w:r w:rsidRPr="00DF73E8">
              <w:rPr>
                <w:color w:val="000000" w:themeColor="text1"/>
                <w:lang w:val="en-IN"/>
              </w:rPr>
              <w:t>From 1 July 2025, Rule 11(1-A) allows disclosure through barcodes, QR codes, or brochures linked to the CPCB portal, enabling digital traceability and quarterly database updates</w:t>
            </w:r>
            <w:r>
              <w:rPr>
                <w:color w:val="000000" w:themeColor="text1"/>
                <w:lang w:val="en-IN"/>
              </w:rPr>
              <w:t>.</w:t>
            </w:r>
          </w:p>
          <w:p w14:paraId="2C2128DB" w14:textId="44FDEA1A" w:rsidR="00093CA9" w:rsidRPr="00DF73E8" w:rsidRDefault="00D26D2A" w:rsidP="00DF73E8">
            <w:pPr>
              <w:keepNext/>
              <w:jc w:val="both"/>
              <w:rPr>
                <w:color w:val="000000" w:themeColor="text1"/>
                <w:lang w:val="en-IN"/>
              </w:rPr>
            </w:pPr>
            <w:r w:rsidRPr="00DF73E8">
              <w:rPr>
                <w:color w:val="000000" w:themeColor="text1"/>
                <w:lang w:val="en-IN"/>
              </w:rPr>
              <w:t>Under Rule 17, PIBOs, processors, manufacturers, and local authorities must submit detailed annual reports to CPCB, covering collection, recycling, processing, and EPR compliance.</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DF73E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rsidRPr="00371844">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774"/>
        <w:gridCol w:w="4086"/>
        <w:gridCol w:w="408"/>
        <w:gridCol w:w="1511"/>
        <w:gridCol w:w="1809"/>
        <w:gridCol w:w="1873"/>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C5ADE4C" w:rsidR="00C4670C" w:rsidRPr="00C37D48" w:rsidRDefault="005B3A00"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1AA28E71" w:rsidR="00C4670C" w:rsidRPr="00C37D48" w:rsidRDefault="005B3A00"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3DC6874C" w:rsidR="00C4670C" w:rsidRPr="00C37D48" w:rsidRDefault="005B3A00"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0A183D88" w:rsidR="00C4670C" w:rsidRPr="00C37D48" w:rsidRDefault="00771E28"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139520FB" w:rsidR="00C4670C" w:rsidRPr="00C37D48" w:rsidRDefault="00771E28"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34266C5E" w:rsidR="00C4670C" w:rsidRPr="00C37D48" w:rsidRDefault="00771E28"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618431D4" w:rsidR="00C4670C" w:rsidRPr="00C37D48" w:rsidRDefault="00771E28"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2D5962A" w:rsidR="00C4670C" w:rsidRPr="00C37D48" w:rsidRDefault="00771E28"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082EB96E" w:rsidR="00C4670C" w:rsidRPr="00C37D48" w:rsidRDefault="00771E28"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8055426" w:rsidR="00C4670C" w:rsidRPr="00C37D48" w:rsidRDefault="00771E28"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E98F057" w:rsidR="00C4670C" w:rsidRPr="00C37D48" w:rsidRDefault="00771E28"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4A52ECF9" w:rsidR="00C4670C" w:rsidRPr="00C37D48" w:rsidRDefault="00771E28"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61972E02" w:rsidR="00C4670C" w:rsidRPr="00C37D48" w:rsidRDefault="00771E28"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24ACEAE5"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1F33E38A"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65022AE1"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41473D29"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9440380"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565AED0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EC633FE" w:rsidR="004F276F" w:rsidRPr="00C37D48" w:rsidRDefault="000A50F5"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28A2EAC8" w:rsidR="004F276F" w:rsidRPr="00C37D48" w:rsidRDefault="000A50F5"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C3A75F6" w:rsidR="004F276F" w:rsidRPr="00C37D48" w:rsidRDefault="00771E28"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5F5639B2" w:rsidR="004F276F" w:rsidRPr="00C37D48" w:rsidRDefault="000A50F5"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083B6F9A" w:rsidR="004F276F" w:rsidRPr="00C37D48" w:rsidRDefault="00771E28"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2CB8056F" w:rsidR="004F276F" w:rsidRPr="00C37D48" w:rsidRDefault="000A50F5"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35BE3A1B" w:rsidR="004F276F" w:rsidRPr="00C37D48" w:rsidRDefault="000A50F5"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62D83596" w:rsidR="004F276F" w:rsidRPr="00C37D48" w:rsidRDefault="000A50F5"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196C47BB" w:rsidR="004F276F" w:rsidRPr="00C37D48" w:rsidRDefault="000A50F5"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140C31B6" w:rsidR="004F276F" w:rsidRPr="00C37D48" w:rsidRDefault="000A50F5"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63ECCBF1" w:rsidR="004F276F" w:rsidRPr="00C37D48" w:rsidRDefault="000A50F5"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6DA679B1" w:rsidR="004F276F" w:rsidRPr="00C37D48" w:rsidRDefault="000A50F5"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2B59AADB" w:rsidR="004F276F" w:rsidRPr="00C37D48" w:rsidRDefault="000A50F5"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0733F5C" w:rsidR="004F276F" w:rsidRPr="00C37D48" w:rsidRDefault="000A50F5"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0049EDF1" w:rsidR="004F276F" w:rsidRPr="00C37D48" w:rsidRDefault="000A50F5"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2E973E13" w:rsidR="004F276F" w:rsidRPr="00C37D48" w:rsidRDefault="000A50F5"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4C396D8" w:rsidR="004F276F" w:rsidRPr="00C37D48" w:rsidRDefault="000A50F5"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20B48088" w:rsidR="004F276F" w:rsidRPr="00C37D48" w:rsidRDefault="000A50F5"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8058A9B" w:rsidR="004F276F" w:rsidRPr="00C37D48" w:rsidRDefault="000A50F5"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5E322FC5" w:rsidR="004F276F" w:rsidRPr="00C37D48" w:rsidRDefault="000A50F5"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23333066" w:rsidR="004F276F" w:rsidRPr="00C37D48" w:rsidRDefault="000A50F5"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024F5541" w:rsidR="004F276F" w:rsidRPr="00C37D48" w:rsidRDefault="000A50F5"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09C7AB22" w:rsidR="004F276F" w:rsidRPr="00C37D48" w:rsidRDefault="00D26D2A" w:rsidP="00DF73E8">
            <w:pPr>
              <w:jc w:val="both"/>
              <w:rPr>
                <w:rFonts w:ascii="Calibri" w:hAnsi="Calibri" w:cs="Calibri"/>
              </w:rPr>
            </w:pPr>
            <w:r w:rsidRPr="00D26D2A">
              <w:rPr>
                <w:rFonts w:ascii="Calibri" w:hAnsi="Calibri" w:cs="Calibri"/>
              </w:rPr>
              <w:t>The Rules do not differentiate entities based on ownership (e.g., public/private or listed/unlisted). They apply uniformly to all producers, importers, brand owners (PIBOs), manufacturers, plastic waste processors, waste generators, and local authorities operating within India. Obligations vary by functional role in the plastic value chain, with distinct duties prescribed for each category under the relevant provisions of the Rules.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DF73E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142436FC" w:rsidR="004F276F" w:rsidRPr="00C37D48" w:rsidRDefault="00AB4F26" w:rsidP="00C37D48">
            <w:pPr>
              <w:rPr>
                <w:rFonts w:ascii="Calibri" w:hAnsi="Calibri" w:cs="Calibri"/>
              </w:rPr>
            </w:pPr>
            <w:r w:rsidRPr="00AB4F26">
              <w:rPr>
                <w:rFonts w:ascii="Calibri" w:hAnsi="Calibri" w:cs="Calibri"/>
              </w:rPr>
              <w:t>All entities operating or manufacturing within India fall under the scope.</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45038C98" w:rsidR="004F276F" w:rsidRPr="00C37D48" w:rsidRDefault="007A6409"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39FFCD87" w:rsidR="004F276F" w:rsidRPr="00C37D48" w:rsidRDefault="00737F41"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00F313D5" w:rsidR="004F276F" w:rsidRPr="00C37D48" w:rsidRDefault="00737F41"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lastRenderedPageBreak/>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BE2C856" w:rsidR="004F276F" w:rsidRPr="00C37D48" w:rsidRDefault="00737F41" w:rsidP="00C37D48">
            <w:pPr>
              <w:rPr>
                <w:rFonts w:ascii="Calibri" w:hAnsi="Calibri" w:cs="Calibri"/>
              </w:rPr>
            </w:pPr>
            <w:r>
              <w:rPr>
                <w:rFonts w:ascii="Calibri" w:hAnsi="Calibri" w:cs="Calibri"/>
              </w:rPr>
              <w:t>X</w:t>
            </w: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3D442101" w14:textId="77777777" w:rsidR="00D26D2A" w:rsidRPr="00D26D2A" w:rsidRDefault="00D26D2A" w:rsidP="00D26D2A">
            <w:pPr>
              <w:jc w:val="both"/>
              <w:rPr>
                <w:rFonts w:ascii="Calibri" w:hAnsi="Calibri" w:cs="Calibri"/>
                <w:lang w:val="en-IN"/>
              </w:rPr>
            </w:pPr>
            <w:r w:rsidRPr="00D26D2A">
              <w:rPr>
                <w:rFonts w:ascii="Calibri" w:hAnsi="Calibri" w:cs="Calibri"/>
                <w:lang w:val="en-IN"/>
              </w:rPr>
              <w:t>Non-compliance with the Plastic Waste Management Rules, 2016 (as amended) attracts the following sanctions:</w:t>
            </w:r>
          </w:p>
          <w:p w14:paraId="61B7106D" w14:textId="77777777" w:rsidR="00D26D2A" w:rsidRPr="00D26D2A" w:rsidRDefault="00D26D2A" w:rsidP="00D26D2A">
            <w:pPr>
              <w:jc w:val="both"/>
              <w:rPr>
                <w:rFonts w:ascii="Calibri" w:hAnsi="Calibri" w:cs="Calibri"/>
                <w:lang w:val="en-IN"/>
              </w:rPr>
            </w:pPr>
            <w:r w:rsidRPr="00D26D2A">
              <w:rPr>
                <w:rFonts w:ascii="Calibri" w:hAnsi="Calibri" w:cs="Calibri"/>
                <w:lang w:val="en-IN"/>
              </w:rPr>
              <w:t>a) Environmental compensation may be levied by the CPCB or SPCBs under delegated powers from the Environment (Protection) Act, 1986, read with Rule 18 of the Rules.</w:t>
            </w:r>
          </w:p>
          <w:p w14:paraId="19543C54" w14:textId="77777777" w:rsidR="00D26D2A" w:rsidRPr="00D26D2A" w:rsidRDefault="00D26D2A" w:rsidP="00D26D2A">
            <w:pPr>
              <w:jc w:val="both"/>
              <w:rPr>
                <w:rFonts w:ascii="Calibri" w:hAnsi="Calibri" w:cs="Calibri"/>
                <w:lang w:val="en-IN"/>
              </w:rPr>
            </w:pPr>
            <w:r w:rsidRPr="00D26D2A">
              <w:rPr>
                <w:rFonts w:ascii="Calibri" w:hAnsi="Calibri" w:cs="Calibri"/>
                <w:lang w:val="en-IN"/>
              </w:rPr>
              <w:t>b) Suspension or cancellation of registration may be imposed under Rules 13 and 18, restricting the entity’s ability to operate.</w:t>
            </w:r>
          </w:p>
          <w:p w14:paraId="643668F7" w14:textId="51B4CA61" w:rsidR="00711F61" w:rsidRPr="00DF73E8" w:rsidRDefault="00D26D2A" w:rsidP="00371844">
            <w:pPr>
              <w:jc w:val="both"/>
              <w:rPr>
                <w:rFonts w:ascii="Calibri" w:hAnsi="Calibri" w:cs="Calibri"/>
                <w:lang w:val="en-IN"/>
              </w:rPr>
            </w:pPr>
            <w:r w:rsidRPr="00D26D2A">
              <w:rPr>
                <w:rFonts w:ascii="Calibri" w:hAnsi="Calibri" w:cs="Calibri"/>
                <w:lang w:val="en-IN"/>
              </w:rPr>
              <w:t>c) Criminal penalties, including imprisonment and/or fine, may be imposed under Sections 15 to 17 of the Environment (Protection) Act, 1986, which is the parent legislation.</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077E2BB8" w:rsidR="001F30DE" w:rsidRPr="00C37D48" w:rsidRDefault="00706E91"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9367A27" w14:textId="77777777" w:rsidR="00D26D2A" w:rsidRPr="00D26D2A" w:rsidRDefault="00D26D2A" w:rsidP="00D26D2A">
            <w:pPr>
              <w:jc w:val="both"/>
              <w:rPr>
                <w:rFonts w:ascii="Calibri" w:hAnsi="Calibri" w:cs="Calibri"/>
                <w:lang w:val="en-IN"/>
              </w:rPr>
            </w:pPr>
            <w:r w:rsidRPr="00D26D2A">
              <w:rPr>
                <w:rFonts w:ascii="Calibri" w:hAnsi="Calibri" w:cs="Calibri"/>
                <w:lang w:val="en-IN"/>
              </w:rPr>
              <w:t>Yes. There is documented enforcement activity under the PWM Rules:</w:t>
            </w:r>
          </w:p>
          <w:p w14:paraId="186BD4CC" w14:textId="32E9B1EF" w:rsidR="00D26D2A" w:rsidRDefault="00D26D2A" w:rsidP="00D26D2A">
            <w:pPr>
              <w:pStyle w:val="ListParagraph"/>
              <w:numPr>
                <w:ilvl w:val="0"/>
                <w:numId w:val="58"/>
              </w:numPr>
              <w:jc w:val="both"/>
              <w:rPr>
                <w:rFonts w:ascii="Calibri" w:hAnsi="Calibri" w:cs="Calibri"/>
                <w:lang w:val="en-IN"/>
              </w:rPr>
            </w:pPr>
            <w:r w:rsidRPr="00DF73E8">
              <w:rPr>
                <w:rFonts w:ascii="Calibri" w:hAnsi="Calibri" w:cs="Calibri"/>
                <w:lang w:val="en-IN"/>
              </w:rPr>
              <w:t>In 202</w:t>
            </w:r>
            <w:r w:rsidR="00C250FD">
              <w:rPr>
                <w:rFonts w:ascii="Calibri" w:hAnsi="Calibri" w:cs="Calibri"/>
                <w:lang w:val="en-IN"/>
              </w:rPr>
              <w:t>1</w:t>
            </w:r>
            <w:r w:rsidRPr="00DF73E8">
              <w:rPr>
                <w:rFonts w:ascii="Calibri" w:hAnsi="Calibri" w:cs="Calibri"/>
                <w:lang w:val="en-IN"/>
              </w:rPr>
              <w:t xml:space="preserve">, the National Green Tribunal (NGT) took </w:t>
            </w:r>
            <w:proofErr w:type="spellStart"/>
            <w:r w:rsidRPr="00DF73E8">
              <w:rPr>
                <w:rFonts w:ascii="Calibri" w:hAnsi="Calibri" w:cs="Calibri"/>
                <w:lang w:val="en-IN"/>
              </w:rPr>
              <w:t>suo</w:t>
            </w:r>
            <w:proofErr w:type="spellEnd"/>
            <w:r w:rsidRPr="00DF73E8">
              <w:rPr>
                <w:rFonts w:ascii="Calibri" w:hAnsi="Calibri" w:cs="Calibri"/>
                <w:lang w:val="en-IN"/>
              </w:rPr>
              <w:t xml:space="preserve"> motu cognizance of widespread violations of single-use plastic bans in Tamil Nadu and issued directives to State Pollution Control Boards for stringent enforcement</w:t>
            </w:r>
            <w:r>
              <w:rPr>
                <w:rFonts w:ascii="Calibri" w:hAnsi="Calibri" w:cs="Calibri"/>
                <w:lang w:val="en-IN"/>
              </w:rPr>
              <w:t>.</w:t>
            </w:r>
          </w:p>
          <w:p w14:paraId="08BC2AAD" w14:textId="6CFB6311" w:rsidR="00D26D2A" w:rsidRDefault="00D26D2A" w:rsidP="00D26D2A">
            <w:pPr>
              <w:pStyle w:val="ListParagraph"/>
              <w:numPr>
                <w:ilvl w:val="0"/>
                <w:numId w:val="58"/>
              </w:numPr>
              <w:jc w:val="both"/>
              <w:rPr>
                <w:rFonts w:ascii="Calibri" w:hAnsi="Calibri" w:cs="Calibri"/>
                <w:lang w:val="en-IN"/>
              </w:rPr>
            </w:pPr>
            <w:r w:rsidRPr="00D26D2A">
              <w:rPr>
                <w:rFonts w:ascii="Calibri" w:hAnsi="Calibri" w:cs="Calibri"/>
                <w:lang w:val="en-IN"/>
              </w:rPr>
              <w:t>The Central Pollution Control Board (CPCB) has served show-cause notices and imposed environmental compensation on Producers, Importers, and Brand Owners (PIBOs) for (</w:t>
            </w:r>
            <w:proofErr w:type="spellStart"/>
            <w:r w:rsidRPr="00D26D2A">
              <w:rPr>
                <w:rFonts w:ascii="Calibri" w:hAnsi="Calibri" w:cs="Calibri"/>
                <w:lang w:val="en-IN"/>
              </w:rPr>
              <w:t>i</w:t>
            </w:r>
            <w:proofErr w:type="spellEnd"/>
            <w:r w:rsidRPr="00D26D2A">
              <w:rPr>
                <w:rFonts w:ascii="Calibri" w:hAnsi="Calibri" w:cs="Calibri"/>
                <w:lang w:val="en-IN"/>
              </w:rPr>
              <w:t>) failure to submit EPR plans or annual returns, and (ii) exceeding plastic usage limits. Notices include penalties and progressive EPR target increases—such as a 25% uplift in next-year targets—until compliance is achieved</w:t>
            </w:r>
            <w:r>
              <w:rPr>
                <w:rFonts w:ascii="Calibri" w:hAnsi="Calibri" w:cs="Calibri"/>
                <w:lang w:val="en-IN"/>
              </w:rPr>
              <w:t>.</w:t>
            </w:r>
          </w:p>
          <w:p w14:paraId="583FEE2F" w14:textId="3E09E88C" w:rsidR="00D26D2A" w:rsidRPr="00DF73E8" w:rsidRDefault="000A5DD7" w:rsidP="00D26D2A">
            <w:pPr>
              <w:jc w:val="both"/>
              <w:rPr>
                <w:rFonts w:ascii="Calibri" w:hAnsi="Calibri" w:cs="Calibri"/>
                <w:lang w:val="en-IN"/>
              </w:rPr>
            </w:pPr>
            <w:r>
              <w:rPr>
                <w:rFonts w:ascii="Calibri" w:hAnsi="Calibri" w:cs="Calibri"/>
                <w:lang w:val="en-IN"/>
              </w:rPr>
              <w:t>Link</w:t>
            </w:r>
          </w:p>
          <w:p w14:paraId="2525FD7C" w14:textId="77777777" w:rsidR="001F30DE" w:rsidRDefault="00760AA7" w:rsidP="00DF73E8">
            <w:pPr>
              <w:numPr>
                <w:ilvl w:val="0"/>
                <w:numId w:val="56"/>
              </w:numPr>
              <w:jc w:val="both"/>
              <w:rPr>
                <w:rFonts w:ascii="Calibri" w:hAnsi="Calibri" w:cs="Calibri"/>
                <w:lang w:val="en-IN"/>
              </w:rPr>
            </w:pPr>
            <w:hyperlink r:id="rId19" w:history="1">
              <w:r w:rsidRPr="00617117">
                <w:rPr>
                  <w:rStyle w:val="Hyperlink"/>
                  <w:rFonts w:ascii="Calibri" w:hAnsi="Calibri" w:cs="Calibri"/>
                  <w:lang w:val="en-IN"/>
                </w:rPr>
                <w:t>https://web.archive.org/web/20250708133042/https://www.thehindu.com/news/national/tamil-nadu/pathetic-implementation-of-ban-on-single-use-plastics-says-ngt/article37452181.ece</w:t>
              </w:r>
            </w:hyperlink>
            <w:r>
              <w:rPr>
                <w:rFonts w:ascii="Calibri" w:hAnsi="Calibri" w:cs="Calibri"/>
                <w:lang w:val="en-IN"/>
              </w:rPr>
              <w:t xml:space="preserve"> </w:t>
            </w:r>
          </w:p>
          <w:p w14:paraId="0CD89C5A" w14:textId="20EA08CB" w:rsidR="00760AA7" w:rsidRPr="00DF73E8" w:rsidRDefault="00046A92" w:rsidP="00DF73E8">
            <w:pPr>
              <w:numPr>
                <w:ilvl w:val="0"/>
                <w:numId w:val="56"/>
              </w:numPr>
              <w:jc w:val="both"/>
              <w:rPr>
                <w:rFonts w:ascii="Calibri" w:hAnsi="Calibri" w:cs="Calibri"/>
                <w:lang w:val="en-IN"/>
              </w:rPr>
            </w:pPr>
            <w:hyperlink r:id="rId20" w:history="1">
              <w:r w:rsidRPr="00617117">
                <w:rPr>
                  <w:rStyle w:val="Hyperlink"/>
                  <w:rFonts w:ascii="Calibri" w:hAnsi="Calibri" w:cs="Calibri"/>
                  <w:lang w:val="en-IN"/>
                </w:rPr>
                <w:t>https://web.archive.org/web/20250708133559/https://alephindia.in/cpcb-issues-notices-for-non-compliance-with-plastic-waste-management-rules.php</w:t>
              </w:r>
            </w:hyperlink>
            <w:r>
              <w:rPr>
                <w:rFonts w:ascii="Calibri" w:hAnsi="Calibri" w:cs="Calibri"/>
                <w:lang w:val="en-IN"/>
              </w:rPr>
              <w:t xml:space="preserve"> </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3A2F29F9" w:rsidR="001F30DE" w:rsidRPr="00C37D48" w:rsidRDefault="00D26D2A"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20DB2230"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11BB4F40" w:rsidR="001F30DE" w:rsidRPr="00C37D48" w:rsidRDefault="001F30DE" w:rsidP="00DF73E8">
            <w:pPr>
              <w:jc w:val="both"/>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BD90C63" w:rsidR="004F48E8" w:rsidRPr="00C37D48" w:rsidRDefault="00DD06F4"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A4B25F6" w:rsidR="000A1365" w:rsidRPr="00C37D48" w:rsidRDefault="009B0385"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BF03F40" w:rsidR="00890032" w:rsidRPr="00C37D48" w:rsidRDefault="001F0F00"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B145FED" w:rsidR="00B610C2" w:rsidRPr="00610F28" w:rsidRDefault="007842F7"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42ACF24" w:rsidR="00B610C2" w:rsidRPr="00610F28" w:rsidRDefault="007842F7"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5D43B10" w:rsidR="00B610C2" w:rsidRPr="00610F28" w:rsidRDefault="007842F7"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2275F5D" w:rsidR="00B610C2" w:rsidRPr="00610F28" w:rsidRDefault="007842F7"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BCDF7CA" w:rsidR="00B610C2" w:rsidRPr="00610F28" w:rsidRDefault="007842F7"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A1EE776" w:rsidR="00B610C2" w:rsidRPr="00610F28" w:rsidRDefault="007842F7"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895ED55" w:rsidR="00B610C2" w:rsidRPr="00610F28" w:rsidRDefault="007842F7"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2EE0321" w:rsidR="00B610C2" w:rsidRPr="00610F28" w:rsidRDefault="007842F7"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35372A2" w:rsidR="00B610C2" w:rsidRPr="00610F28" w:rsidRDefault="007842F7"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658FFCB" w:rsidR="00B610C2" w:rsidRPr="00610F28" w:rsidRDefault="007842F7"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2CA7B661" w:rsidR="00B610C2" w:rsidRPr="00610F28" w:rsidRDefault="007842F7"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060E065E" w14:textId="77777777" w:rsidR="00D26D2A" w:rsidRPr="00D26D2A" w:rsidRDefault="00D26D2A" w:rsidP="00D26D2A">
            <w:pPr>
              <w:jc w:val="both"/>
              <w:rPr>
                <w:rFonts w:ascii="Calibri" w:hAnsi="Calibri" w:cs="Calibri"/>
              </w:rPr>
            </w:pPr>
            <w:r w:rsidRPr="00D26D2A">
              <w:rPr>
                <w:rFonts w:ascii="Calibri" w:hAnsi="Calibri" w:cs="Calibri"/>
              </w:rPr>
              <w:t>The Plastic Waste Management Rules, 2016 (as amended) do not specify greenhouse gas (GHG) emission targets or use net-zero terminology. Instead, their contribution to net-zero alignment is indirect, by:</w:t>
            </w:r>
          </w:p>
          <w:p w14:paraId="05E10760" w14:textId="77777777" w:rsidR="00D26D2A" w:rsidRPr="00DF73E8" w:rsidRDefault="00D26D2A" w:rsidP="00DF73E8">
            <w:pPr>
              <w:pStyle w:val="ListParagraph"/>
              <w:numPr>
                <w:ilvl w:val="0"/>
                <w:numId w:val="59"/>
              </w:numPr>
              <w:jc w:val="both"/>
              <w:rPr>
                <w:rFonts w:ascii="Calibri" w:hAnsi="Calibri" w:cs="Calibri"/>
              </w:rPr>
            </w:pPr>
            <w:r w:rsidRPr="00DF73E8">
              <w:rPr>
                <w:rFonts w:ascii="Calibri" w:hAnsi="Calibri" w:cs="Calibri"/>
              </w:rPr>
              <w:t>Reducing plastic production and waste,</w:t>
            </w:r>
          </w:p>
          <w:p w14:paraId="716532FF" w14:textId="77777777" w:rsidR="00D26D2A" w:rsidRPr="00DF73E8" w:rsidRDefault="00D26D2A" w:rsidP="00DF73E8">
            <w:pPr>
              <w:pStyle w:val="ListParagraph"/>
              <w:numPr>
                <w:ilvl w:val="0"/>
                <w:numId w:val="59"/>
              </w:numPr>
              <w:jc w:val="both"/>
              <w:rPr>
                <w:rFonts w:ascii="Calibri" w:hAnsi="Calibri" w:cs="Calibri"/>
              </w:rPr>
            </w:pPr>
            <w:r w:rsidRPr="00DF73E8">
              <w:rPr>
                <w:rFonts w:ascii="Calibri" w:hAnsi="Calibri" w:cs="Calibri"/>
              </w:rPr>
              <w:t>Promoting recycling and reuse, and</w:t>
            </w:r>
          </w:p>
          <w:p w14:paraId="1F4A368C" w14:textId="77777777" w:rsidR="00D26D2A" w:rsidRPr="00DF73E8" w:rsidRDefault="00D26D2A" w:rsidP="00DF73E8">
            <w:pPr>
              <w:pStyle w:val="ListParagraph"/>
              <w:numPr>
                <w:ilvl w:val="0"/>
                <w:numId w:val="59"/>
              </w:numPr>
              <w:jc w:val="both"/>
              <w:rPr>
                <w:rFonts w:ascii="Calibri" w:hAnsi="Calibri" w:cs="Calibri"/>
              </w:rPr>
            </w:pPr>
            <w:r w:rsidRPr="00DF73E8">
              <w:rPr>
                <w:rFonts w:ascii="Calibri" w:hAnsi="Calibri" w:cs="Calibri"/>
              </w:rPr>
              <w:t>Phasing out environmentally harmful plastics.</w:t>
            </w:r>
          </w:p>
          <w:p w14:paraId="390A3B62" w14:textId="77777777" w:rsidR="00D26D2A" w:rsidRDefault="00D26D2A" w:rsidP="00D26D2A">
            <w:pPr>
              <w:jc w:val="both"/>
              <w:rPr>
                <w:rFonts w:ascii="Calibri" w:hAnsi="Calibri" w:cs="Calibri"/>
              </w:rPr>
            </w:pPr>
            <w:r w:rsidRPr="00D26D2A">
              <w:rPr>
                <w:rFonts w:ascii="Calibri" w:hAnsi="Calibri" w:cs="Calibri"/>
              </w:rPr>
              <w:t>These measures enhance resource efficiency and advance circular economy principles, which are recognized enablers of broader climate mitigation efforts—though not quantitatively integrated into net-zero frameworks or emission pathways.</w:t>
            </w:r>
          </w:p>
          <w:p w14:paraId="661AEEE8" w14:textId="19D69260" w:rsidR="00250F54" w:rsidRPr="00610F28" w:rsidRDefault="00250F54" w:rsidP="00DF73E8">
            <w:pPr>
              <w:jc w:val="both"/>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F73E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DF73E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DF73E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DF73E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3762AF" w14:textId="77777777" w:rsidR="00FA192E" w:rsidRDefault="00FA192E" w:rsidP="00874E39">
      <w:r>
        <w:separator/>
      </w:r>
    </w:p>
  </w:endnote>
  <w:endnote w:type="continuationSeparator" w:id="0">
    <w:p w14:paraId="7852E00F" w14:textId="77777777" w:rsidR="00FA192E" w:rsidRDefault="00FA192E" w:rsidP="00874E39">
      <w:r>
        <w:continuationSeparator/>
      </w:r>
    </w:p>
  </w:endnote>
  <w:endnote w:type="continuationNotice" w:id="1">
    <w:p w14:paraId="7998B123" w14:textId="77777777" w:rsidR="00FA192E" w:rsidRDefault="00FA192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24000970"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871090476"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A9F0A1" w14:textId="77777777" w:rsidR="00FA192E" w:rsidRDefault="00FA192E" w:rsidP="00874E39">
      <w:r>
        <w:separator/>
      </w:r>
    </w:p>
  </w:footnote>
  <w:footnote w:type="continuationSeparator" w:id="0">
    <w:p w14:paraId="0A8A34FF" w14:textId="77777777" w:rsidR="00FA192E" w:rsidRDefault="00FA192E" w:rsidP="00874E39">
      <w:r>
        <w:continuationSeparator/>
      </w:r>
    </w:p>
  </w:footnote>
  <w:footnote w:type="continuationNotice" w:id="1">
    <w:p w14:paraId="2957DBFF" w14:textId="77777777" w:rsidR="00FA192E" w:rsidRDefault="00FA192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B22383"/>
    <w:multiLevelType w:val="hybridMultilevel"/>
    <w:tmpl w:val="1EC245DA"/>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878175F"/>
    <w:multiLevelType w:val="multilevel"/>
    <w:tmpl w:val="66F8D3A2"/>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6"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0F9B64A2"/>
    <w:multiLevelType w:val="hybridMultilevel"/>
    <w:tmpl w:val="56F67802"/>
    <w:lvl w:ilvl="0" w:tplc="4009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1DB13BD2"/>
    <w:multiLevelType w:val="multilevel"/>
    <w:tmpl w:val="47804760"/>
    <w:lvl w:ilvl="0">
      <w:start w:val="1"/>
      <w:numFmt w:val="decimal"/>
      <w:lvlText w:val="%1."/>
      <w:lvlJc w:val="left"/>
      <w:pPr>
        <w:tabs>
          <w:tab w:val="num" w:pos="720"/>
        </w:tabs>
        <w:ind w:left="720" w:hanging="360"/>
      </w:pPr>
    </w:lvl>
    <w:lvl w:ilvl="1">
      <w:start w:val="1"/>
      <w:numFmt w:val="lowerLetter"/>
      <w:lvlText w:val="%2)"/>
      <w:lvlJc w:val="left"/>
      <w:pPr>
        <w:ind w:left="1440" w:hanging="360"/>
      </w:pPr>
    </w:lvl>
    <w:lvl w:ilvl="2">
      <w:start w:val="1"/>
      <w:numFmt w:val="lowerRoman"/>
      <w:lvlText w:val="%3."/>
      <w:lvlJc w:val="right"/>
      <w:pPr>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0AC10B0"/>
    <w:multiLevelType w:val="multilevel"/>
    <w:tmpl w:val="A7DAED86"/>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6"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7"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8"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9" w15:restartNumberingAfterBreak="0">
    <w:nsid w:val="298F1906"/>
    <w:multiLevelType w:val="hybridMultilevel"/>
    <w:tmpl w:val="0376463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15:restartNumberingAfterBreak="0">
    <w:nsid w:val="2A274451"/>
    <w:multiLevelType w:val="hybridMultilevel"/>
    <w:tmpl w:val="17CC5C8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1"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2"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3"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4"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5" w15:restartNumberingAfterBreak="0">
    <w:nsid w:val="3709252C"/>
    <w:multiLevelType w:val="hybridMultilevel"/>
    <w:tmpl w:val="5E706142"/>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7"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8"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9"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30"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31"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2"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3"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4"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5"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6"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7"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8"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9"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40"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1"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2"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3"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4"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6"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7"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8" w15:restartNumberingAfterBreak="0">
    <w:nsid w:val="5A34518D"/>
    <w:multiLevelType w:val="hybridMultilevel"/>
    <w:tmpl w:val="FD26273A"/>
    <w:lvl w:ilvl="0" w:tplc="FFFFFFFF">
      <w:start w:val="1"/>
      <w:numFmt w:val="lowerLetter"/>
      <w:lvlText w:val="%1)"/>
      <w:lvlJc w:val="left"/>
      <w:pPr>
        <w:ind w:left="720" w:hanging="360"/>
      </w:pPr>
    </w:lvl>
    <w:lvl w:ilvl="1" w:tplc="4009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50"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1" w15:restartNumberingAfterBreak="0">
    <w:nsid w:val="6CAD6E52"/>
    <w:multiLevelType w:val="hybridMultilevel"/>
    <w:tmpl w:val="FF1443FC"/>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6" w15:restartNumberingAfterBreak="0">
    <w:nsid w:val="719B050B"/>
    <w:multiLevelType w:val="hybridMultilevel"/>
    <w:tmpl w:val="5802E112"/>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5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9" w15:restartNumberingAfterBreak="0">
    <w:nsid w:val="7F3F76BC"/>
    <w:multiLevelType w:val="hybridMultilevel"/>
    <w:tmpl w:val="F09E9A6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16cid:durableId="680666882">
    <w:abstractNumId w:val="23"/>
  </w:num>
  <w:num w:numId="2" w16cid:durableId="482308869">
    <w:abstractNumId w:val="31"/>
  </w:num>
  <w:num w:numId="3" w16cid:durableId="690952733">
    <w:abstractNumId w:val="50"/>
  </w:num>
  <w:num w:numId="4" w16cid:durableId="1689330127">
    <w:abstractNumId w:val="2"/>
  </w:num>
  <w:num w:numId="5" w16cid:durableId="401291788">
    <w:abstractNumId w:val="36"/>
  </w:num>
  <w:num w:numId="6" w16cid:durableId="1276788690">
    <w:abstractNumId w:val="18"/>
  </w:num>
  <w:num w:numId="7" w16cid:durableId="566767730">
    <w:abstractNumId w:val="28"/>
  </w:num>
  <w:num w:numId="8" w16cid:durableId="1780710843">
    <w:abstractNumId w:val="42"/>
  </w:num>
  <w:num w:numId="9" w16cid:durableId="1685783054">
    <w:abstractNumId w:val="5"/>
  </w:num>
  <w:num w:numId="10" w16cid:durableId="950551298">
    <w:abstractNumId w:val="39"/>
  </w:num>
  <w:num w:numId="11" w16cid:durableId="1591960799">
    <w:abstractNumId w:val="58"/>
  </w:num>
  <w:num w:numId="12" w16cid:durableId="1344891410">
    <w:abstractNumId w:val="12"/>
  </w:num>
  <w:num w:numId="13" w16cid:durableId="2023899324">
    <w:abstractNumId w:val="16"/>
  </w:num>
  <w:num w:numId="14" w16cid:durableId="430587014">
    <w:abstractNumId w:val="10"/>
  </w:num>
  <w:num w:numId="15" w16cid:durableId="1742869061">
    <w:abstractNumId w:val="38"/>
  </w:num>
  <w:num w:numId="16" w16cid:durableId="1996450437">
    <w:abstractNumId w:val="27"/>
  </w:num>
  <w:num w:numId="17" w16cid:durableId="1529031027">
    <w:abstractNumId w:val="11"/>
  </w:num>
  <w:num w:numId="18" w16cid:durableId="568614617">
    <w:abstractNumId w:val="24"/>
  </w:num>
  <w:num w:numId="19" w16cid:durableId="1530605858">
    <w:abstractNumId w:val="52"/>
  </w:num>
  <w:num w:numId="20" w16cid:durableId="1328172586">
    <w:abstractNumId w:val="22"/>
  </w:num>
  <w:num w:numId="21" w16cid:durableId="184827816">
    <w:abstractNumId w:val="35"/>
  </w:num>
  <w:num w:numId="22" w16cid:durableId="1785346599">
    <w:abstractNumId w:val="41"/>
  </w:num>
  <w:num w:numId="23" w16cid:durableId="1294288901">
    <w:abstractNumId w:val="34"/>
  </w:num>
  <w:num w:numId="24" w16cid:durableId="1603957975">
    <w:abstractNumId w:val="54"/>
  </w:num>
  <w:num w:numId="25" w16cid:durableId="1659531047">
    <w:abstractNumId w:val="53"/>
  </w:num>
  <w:num w:numId="26" w16cid:durableId="752774403">
    <w:abstractNumId w:val="30"/>
  </w:num>
  <w:num w:numId="27" w16cid:durableId="347872198">
    <w:abstractNumId w:val="8"/>
  </w:num>
  <w:num w:numId="28" w16cid:durableId="537133110">
    <w:abstractNumId w:val="17"/>
  </w:num>
  <w:num w:numId="29" w16cid:durableId="1632318729">
    <w:abstractNumId w:val="55"/>
  </w:num>
  <w:num w:numId="30" w16cid:durableId="1268124074">
    <w:abstractNumId w:val="40"/>
  </w:num>
  <w:num w:numId="31" w16cid:durableId="887108748">
    <w:abstractNumId w:val="37"/>
  </w:num>
  <w:num w:numId="32" w16cid:durableId="1826125712">
    <w:abstractNumId w:val="43"/>
  </w:num>
  <w:num w:numId="33" w16cid:durableId="823357978">
    <w:abstractNumId w:val="47"/>
  </w:num>
  <w:num w:numId="34" w16cid:durableId="1092120443">
    <w:abstractNumId w:val="46"/>
  </w:num>
  <w:num w:numId="35" w16cid:durableId="124861188">
    <w:abstractNumId w:val="15"/>
  </w:num>
  <w:num w:numId="36" w16cid:durableId="1952588250">
    <w:abstractNumId w:val="45"/>
  </w:num>
  <w:num w:numId="37" w16cid:durableId="1712027211">
    <w:abstractNumId w:val="6"/>
  </w:num>
  <w:num w:numId="38" w16cid:durableId="2033795929">
    <w:abstractNumId w:val="3"/>
  </w:num>
  <w:num w:numId="39" w16cid:durableId="1238595582">
    <w:abstractNumId w:val="32"/>
  </w:num>
  <w:num w:numId="40" w16cid:durableId="416558262">
    <w:abstractNumId w:val="29"/>
  </w:num>
  <w:num w:numId="41" w16cid:durableId="1543715517">
    <w:abstractNumId w:val="26"/>
  </w:num>
  <w:num w:numId="42" w16cid:durableId="452208391">
    <w:abstractNumId w:val="21"/>
  </w:num>
  <w:num w:numId="43" w16cid:durableId="260340070">
    <w:abstractNumId w:val="0"/>
  </w:num>
  <w:num w:numId="44" w16cid:durableId="1639914969">
    <w:abstractNumId w:val="7"/>
  </w:num>
  <w:num w:numId="45" w16cid:durableId="1554191892">
    <w:abstractNumId w:val="49"/>
  </w:num>
  <w:num w:numId="46" w16cid:durableId="947811845">
    <w:abstractNumId w:val="57"/>
  </w:num>
  <w:num w:numId="47" w16cid:durableId="342588554">
    <w:abstractNumId w:val="33"/>
  </w:num>
  <w:num w:numId="48" w16cid:durableId="318391343">
    <w:abstractNumId w:val="44"/>
  </w:num>
  <w:num w:numId="49" w16cid:durableId="204030227">
    <w:abstractNumId w:val="20"/>
  </w:num>
  <w:num w:numId="50" w16cid:durableId="1508255109">
    <w:abstractNumId w:val="9"/>
  </w:num>
  <w:num w:numId="51" w16cid:durableId="752816348">
    <w:abstractNumId w:val="51"/>
  </w:num>
  <w:num w:numId="52" w16cid:durableId="975985824">
    <w:abstractNumId w:val="25"/>
  </w:num>
  <w:num w:numId="53" w16cid:durableId="1254700054">
    <w:abstractNumId w:val="48"/>
  </w:num>
  <w:num w:numId="54" w16cid:durableId="1828788086">
    <w:abstractNumId w:val="13"/>
  </w:num>
  <w:num w:numId="55" w16cid:durableId="677193322">
    <w:abstractNumId w:val="14"/>
  </w:num>
  <w:num w:numId="56" w16cid:durableId="1412005158">
    <w:abstractNumId w:val="4"/>
  </w:num>
  <w:num w:numId="57" w16cid:durableId="619074071">
    <w:abstractNumId w:val="56"/>
  </w:num>
  <w:num w:numId="58" w16cid:durableId="1572616061">
    <w:abstractNumId w:val="19"/>
  </w:num>
  <w:num w:numId="59" w16cid:durableId="1500460201">
    <w:abstractNumId w:val="1"/>
  </w:num>
  <w:num w:numId="60" w16cid:durableId="1659576247">
    <w:abstractNumId w:val="59"/>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15C"/>
    <w:rsid w:val="000449A7"/>
    <w:rsid w:val="000463AE"/>
    <w:rsid w:val="00046A92"/>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959"/>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0F5"/>
    <w:rsid w:val="000A59F1"/>
    <w:rsid w:val="000A5DD7"/>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C53"/>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1FE2"/>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395"/>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421"/>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3FAA"/>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0F00"/>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376"/>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A64"/>
    <w:rsid w:val="00244207"/>
    <w:rsid w:val="00246630"/>
    <w:rsid w:val="00247DE7"/>
    <w:rsid w:val="002500FA"/>
    <w:rsid w:val="00250ED8"/>
    <w:rsid w:val="00250F54"/>
    <w:rsid w:val="0025129B"/>
    <w:rsid w:val="0025449C"/>
    <w:rsid w:val="002552C9"/>
    <w:rsid w:val="0025765F"/>
    <w:rsid w:val="00257732"/>
    <w:rsid w:val="00260D0C"/>
    <w:rsid w:val="00264CBC"/>
    <w:rsid w:val="0026588F"/>
    <w:rsid w:val="0026642F"/>
    <w:rsid w:val="002679A5"/>
    <w:rsid w:val="0027067C"/>
    <w:rsid w:val="00270A4D"/>
    <w:rsid w:val="00272D9A"/>
    <w:rsid w:val="002737EF"/>
    <w:rsid w:val="00274335"/>
    <w:rsid w:val="00274864"/>
    <w:rsid w:val="00274B22"/>
    <w:rsid w:val="00277BE8"/>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489"/>
    <w:rsid w:val="00306538"/>
    <w:rsid w:val="00307058"/>
    <w:rsid w:val="003071A8"/>
    <w:rsid w:val="00307464"/>
    <w:rsid w:val="0031143A"/>
    <w:rsid w:val="0031181F"/>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5DBE"/>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240"/>
    <w:rsid w:val="003647F4"/>
    <w:rsid w:val="0036671B"/>
    <w:rsid w:val="003676DE"/>
    <w:rsid w:val="0036779C"/>
    <w:rsid w:val="00371844"/>
    <w:rsid w:val="00372AEE"/>
    <w:rsid w:val="00374229"/>
    <w:rsid w:val="0037453B"/>
    <w:rsid w:val="00375D49"/>
    <w:rsid w:val="003762A4"/>
    <w:rsid w:val="003770DA"/>
    <w:rsid w:val="00377281"/>
    <w:rsid w:val="0037E466"/>
    <w:rsid w:val="003811C3"/>
    <w:rsid w:val="003817C1"/>
    <w:rsid w:val="00381CDC"/>
    <w:rsid w:val="00381E8A"/>
    <w:rsid w:val="00381FD3"/>
    <w:rsid w:val="00384F24"/>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3F7D"/>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640"/>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6E88"/>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2219"/>
    <w:rsid w:val="005B355B"/>
    <w:rsid w:val="005B3A00"/>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10C9"/>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6E91"/>
    <w:rsid w:val="00707D5E"/>
    <w:rsid w:val="00707F76"/>
    <w:rsid w:val="00711F61"/>
    <w:rsid w:val="007130D4"/>
    <w:rsid w:val="00714103"/>
    <w:rsid w:val="00714E43"/>
    <w:rsid w:val="00717C33"/>
    <w:rsid w:val="007201B1"/>
    <w:rsid w:val="007221BB"/>
    <w:rsid w:val="007245FC"/>
    <w:rsid w:val="007250B7"/>
    <w:rsid w:val="007274CB"/>
    <w:rsid w:val="0072785A"/>
    <w:rsid w:val="00730E27"/>
    <w:rsid w:val="007312A3"/>
    <w:rsid w:val="00732D3A"/>
    <w:rsid w:val="007335CD"/>
    <w:rsid w:val="00733903"/>
    <w:rsid w:val="00733D39"/>
    <w:rsid w:val="00735A3B"/>
    <w:rsid w:val="00736F5F"/>
    <w:rsid w:val="00737B83"/>
    <w:rsid w:val="00737F41"/>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0AA7"/>
    <w:rsid w:val="007615D2"/>
    <w:rsid w:val="00763C64"/>
    <w:rsid w:val="00764D1A"/>
    <w:rsid w:val="00764DB3"/>
    <w:rsid w:val="00765130"/>
    <w:rsid w:val="007653FB"/>
    <w:rsid w:val="0076706A"/>
    <w:rsid w:val="0077017A"/>
    <w:rsid w:val="007710D7"/>
    <w:rsid w:val="00771E28"/>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2F7"/>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409"/>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414"/>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7F7"/>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489"/>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1A25"/>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263"/>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385"/>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E18"/>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08A"/>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6"/>
    <w:rsid w:val="00AB4F2C"/>
    <w:rsid w:val="00AB64F8"/>
    <w:rsid w:val="00AC6ECF"/>
    <w:rsid w:val="00AC7B6B"/>
    <w:rsid w:val="00AD0399"/>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3BF0"/>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093"/>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93B"/>
    <w:rsid w:val="00BB58AA"/>
    <w:rsid w:val="00BB5B4B"/>
    <w:rsid w:val="00BB667C"/>
    <w:rsid w:val="00BB7964"/>
    <w:rsid w:val="00BC0309"/>
    <w:rsid w:val="00BC1037"/>
    <w:rsid w:val="00BC2F0B"/>
    <w:rsid w:val="00BC3206"/>
    <w:rsid w:val="00BC3D62"/>
    <w:rsid w:val="00BC4832"/>
    <w:rsid w:val="00BC5451"/>
    <w:rsid w:val="00BC5744"/>
    <w:rsid w:val="00BC5B8A"/>
    <w:rsid w:val="00BC6263"/>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0FD"/>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5900"/>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73F"/>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3AE"/>
    <w:rsid w:val="00D166A9"/>
    <w:rsid w:val="00D16C1B"/>
    <w:rsid w:val="00D1763B"/>
    <w:rsid w:val="00D177DF"/>
    <w:rsid w:val="00D17FD2"/>
    <w:rsid w:val="00D20C74"/>
    <w:rsid w:val="00D2196F"/>
    <w:rsid w:val="00D21D15"/>
    <w:rsid w:val="00D23119"/>
    <w:rsid w:val="00D241D4"/>
    <w:rsid w:val="00D24A69"/>
    <w:rsid w:val="00D25520"/>
    <w:rsid w:val="00D26D2A"/>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6F4"/>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3E8"/>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157"/>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80"/>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49D2"/>
    <w:rsid w:val="00ED6FE1"/>
    <w:rsid w:val="00ED77B0"/>
    <w:rsid w:val="00ED7E12"/>
    <w:rsid w:val="00EE04F1"/>
    <w:rsid w:val="00EE07D1"/>
    <w:rsid w:val="00EE23B3"/>
    <w:rsid w:val="00EE5475"/>
    <w:rsid w:val="00EE5783"/>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67A8"/>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92E"/>
    <w:rsid w:val="00FA2D54"/>
    <w:rsid w:val="00FA38D8"/>
    <w:rsid w:val="00FA4B8D"/>
    <w:rsid w:val="00FA6DED"/>
    <w:rsid w:val="00FA76DF"/>
    <w:rsid w:val="00FA78EA"/>
    <w:rsid w:val="00FB5A70"/>
    <w:rsid w:val="00FC0689"/>
    <w:rsid w:val="00FC13F0"/>
    <w:rsid w:val="00FC337B"/>
    <w:rsid w:val="00FC5AA7"/>
    <w:rsid w:val="00FC6E48"/>
    <w:rsid w:val="00FD05F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40343">
      <w:bodyDiv w:val="1"/>
      <w:marLeft w:val="0"/>
      <w:marRight w:val="0"/>
      <w:marTop w:val="0"/>
      <w:marBottom w:val="0"/>
      <w:divBdr>
        <w:top w:val="none" w:sz="0" w:space="0" w:color="auto"/>
        <w:left w:val="none" w:sz="0" w:space="0" w:color="auto"/>
        <w:bottom w:val="none" w:sz="0" w:space="0" w:color="auto"/>
        <w:right w:val="none" w:sz="0" w:space="0" w:color="auto"/>
      </w:divBdr>
    </w:div>
    <w:div w:id="7147581">
      <w:bodyDiv w:val="1"/>
      <w:marLeft w:val="0"/>
      <w:marRight w:val="0"/>
      <w:marTop w:val="0"/>
      <w:marBottom w:val="0"/>
      <w:divBdr>
        <w:top w:val="none" w:sz="0" w:space="0" w:color="auto"/>
        <w:left w:val="none" w:sz="0" w:space="0" w:color="auto"/>
        <w:bottom w:val="none" w:sz="0" w:space="0" w:color="auto"/>
        <w:right w:val="none" w:sz="0" w:space="0" w:color="auto"/>
      </w:divBdr>
    </w:div>
    <w:div w:id="65536905">
      <w:bodyDiv w:val="1"/>
      <w:marLeft w:val="0"/>
      <w:marRight w:val="0"/>
      <w:marTop w:val="0"/>
      <w:marBottom w:val="0"/>
      <w:divBdr>
        <w:top w:val="none" w:sz="0" w:space="0" w:color="auto"/>
        <w:left w:val="none" w:sz="0" w:space="0" w:color="auto"/>
        <w:bottom w:val="none" w:sz="0" w:space="0" w:color="auto"/>
        <w:right w:val="none" w:sz="0" w:space="0" w:color="auto"/>
      </w:divBdr>
    </w:div>
    <w:div w:id="268971007">
      <w:bodyDiv w:val="1"/>
      <w:marLeft w:val="0"/>
      <w:marRight w:val="0"/>
      <w:marTop w:val="0"/>
      <w:marBottom w:val="0"/>
      <w:divBdr>
        <w:top w:val="none" w:sz="0" w:space="0" w:color="auto"/>
        <w:left w:val="none" w:sz="0" w:space="0" w:color="auto"/>
        <w:bottom w:val="none" w:sz="0" w:space="0" w:color="auto"/>
        <w:right w:val="none" w:sz="0" w:space="0" w:color="auto"/>
      </w:divBdr>
    </w:div>
    <w:div w:id="397242531">
      <w:bodyDiv w:val="1"/>
      <w:marLeft w:val="0"/>
      <w:marRight w:val="0"/>
      <w:marTop w:val="0"/>
      <w:marBottom w:val="0"/>
      <w:divBdr>
        <w:top w:val="none" w:sz="0" w:space="0" w:color="auto"/>
        <w:left w:val="none" w:sz="0" w:space="0" w:color="auto"/>
        <w:bottom w:val="none" w:sz="0" w:space="0" w:color="auto"/>
        <w:right w:val="none" w:sz="0" w:space="0" w:color="auto"/>
      </w:divBdr>
    </w:div>
    <w:div w:id="51111667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8686465">
      <w:bodyDiv w:val="1"/>
      <w:marLeft w:val="0"/>
      <w:marRight w:val="0"/>
      <w:marTop w:val="0"/>
      <w:marBottom w:val="0"/>
      <w:divBdr>
        <w:top w:val="none" w:sz="0" w:space="0" w:color="auto"/>
        <w:left w:val="none" w:sz="0" w:space="0" w:color="auto"/>
        <w:bottom w:val="none" w:sz="0" w:space="0" w:color="auto"/>
        <w:right w:val="none" w:sz="0" w:space="0" w:color="auto"/>
      </w:divBdr>
    </w:div>
    <w:div w:id="692268407">
      <w:bodyDiv w:val="1"/>
      <w:marLeft w:val="0"/>
      <w:marRight w:val="0"/>
      <w:marTop w:val="0"/>
      <w:marBottom w:val="0"/>
      <w:divBdr>
        <w:top w:val="none" w:sz="0" w:space="0" w:color="auto"/>
        <w:left w:val="none" w:sz="0" w:space="0" w:color="auto"/>
        <w:bottom w:val="none" w:sz="0" w:space="0" w:color="auto"/>
        <w:right w:val="none" w:sz="0" w:space="0" w:color="auto"/>
      </w:divBdr>
    </w:div>
    <w:div w:id="725642924">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2162282">
      <w:bodyDiv w:val="1"/>
      <w:marLeft w:val="0"/>
      <w:marRight w:val="0"/>
      <w:marTop w:val="0"/>
      <w:marBottom w:val="0"/>
      <w:divBdr>
        <w:top w:val="none" w:sz="0" w:space="0" w:color="auto"/>
        <w:left w:val="none" w:sz="0" w:space="0" w:color="auto"/>
        <w:bottom w:val="none" w:sz="0" w:space="0" w:color="auto"/>
        <w:right w:val="none" w:sz="0" w:space="0" w:color="auto"/>
      </w:divBdr>
    </w:div>
    <w:div w:id="849560103">
      <w:bodyDiv w:val="1"/>
      <w:marLeft w:val="0"/>
      <w:marRight w:val="0"/>
      <w:marTop w:val="0"/>
      <w:marBottom w:val="0"/>
      <w:divBdr>
        <w:top w:val="none" w:sz="0" w:space="0" w:color="auto"/>
        <w:left w:val="none" w:sz="0" w:space="0" w:color="auto"/>
        <w:bottom w:val="none" w:sz="0" w:space="0" w:color="auto"/>
        <w:right w:val="none" w:sz="0" w:space="0" w:color="auto"/>
      </w:divBdr>
    </w:div>
    <w:div w:id="867569600">
      <w:bodyDiv w:val="1"/>
      <w:marLeft w:val="0"/>
      <w:marRight w:val="0"/>
      <w:marTop w:val="0"/>
      <w:marBottom w:val="0"/>
      <w:divBdr>
        <w:top w:val="none" w:sz="0" w:space="0" w:color="auto"/>
        <w:left w:val="none" w:sz="0" w:space="0" w:color="auto"/>
        <w:bottom w:val="none" w:sz="0" w:space="0" w:color="auto"/>
        <w:right w:val="none" w:sz="0" w:space="0" w:color="auto"/>
      </w:divBdr>
    </w:div>
    <w:div w:id="897517064">
      <w:bodyDiv w:val="1"/>
      <w:marLeft w:val="0"/>
      <w:marRight w:val="0"/>
      <w:marTop w:val="0"/>
      <w:marBottom w:val="0"/>
      <w:divBdr>
        <w:top w:val="none" w:sz="0" w:space="0" w:color="auto"/>
        <w:left w:val="none" w:sz="0" w:space="0" w:color="auto"/>
        <w:bottom w:val="none" w:sz="0" w:space="0" w:color="auto"/>
        <w:right w:val="none" w:sz="0" w:space="0" w:color="auto"/>
      </w:divBdr>
    </w:div>
    <w:div w:id="109887141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2706235">
      <w:bodyDiv w:val="1"/>
      <w:marLeft w:val="0"/>
      <w:marRight w:val="0"/>
      <w:marTop w:val="0"/>
      <w:marBottom w:val="0"/>
      <w:divBdr>
        <w:top w:val="none" w:sz="0" w:space="0" w:color="auto"/>
        <w:left w:val="none" w:sz="0" w:space="0" w:color="auto"/>
        <w:bottom w:val="none" w:sz="0" w:space="0" w:color="auto"/>
        <w:right w:val="none" w:sz="0" w:space="0" w:color="auto"/>
      </w:divBdr>
    </w:div>
    <w:div w:id="1331636081">
      <w:bodyDiv w:val="1"/>
      <w:marLeft w:val="0"/>
      <w:marRight w:val="0"/>
      <w:marTop w:val="0"/>
      <w:marBottom w:val="0"/>
      <w:divBdr>
        <w:top w:val="none" w:sz="0" w:space="0" w:color="auto"/>
        <w:left w:val="none" w:sz="0" w:space="0" w:color="auto"/>
        <w:bottom w:val="none" w:sz="0" w:space="0" w:color="auto"/>
        <w:right w:val="none" w:sz="0" w:space="0" w:color="auto"/>
      </w:divBdr>
    </w:div>
    <w:div w:id="1364329134">
      <w:bodyDiv w:val="1"/>
      <w:marLeft w:val="0"/>
      <w:marRight w:val="0"/>
      <w:marTop w:val="0"/>
      <w:marBottom w:val="0"/>
      <w:divBdr>
        <w:top w:val="none" w:sz="0" w:space="0" w:color="auto"/>
        <w:left w:val="none" w:sz="0" w:space="0" w:color="auto"/>
        <w:bottom w:val="none" w:sz="0" w:space="0" w:color="auto"/>
        <w:right w:val="none" w:sz="0" w:space="0" w:color="auto"/>
      </w:divBdr>
    </w:div>
    <w:div w:id="1381171301">
      <w:bodyDiv w:val="1"/>
      <w:marLeft w:val="0"/>
      <w:marRight w:val="0"/>
      <w:marTop w:val="0"/>
      <w:marBottom w:val="0"/>
      <w:divBdr>
        <w:top w:val="none" w:sz="0" w:space="0" w:color="auto"/>
        <w:left w:val="none" w:sz="0" w:space="0" w:color="auto"/>
        <w:bottom w:val="none" w:sz="0" w:space="0" w:color="auto"/>
        <w:right w:val="none" w:sz="0" w:space="0" w:color="auto"/>
      </w:divBdr>
    </w:div>
    <w:div w:id="1466850885">
      <w:bodyDiv w:val="1"/>
      <w:marLeft w:val="0"/>
      <w:marRight w:val="0"/>
      <w:marTop w:val="0"/>
      <w:marBottom w:val="0"/>
      <w:divBdr>
        <w:top w:val="none" w:sz="0" w:space="0" w:color="auto"/>
        <w:left w:val="none" w:sz="0" w:space="0" w:color="auto"/>
        <w:bottom w:val="none" w:sz="0" w:space="0" w:color="auto"/>
        <w:right w:val="none" w:sz="0" w:space="0" w:color="auto"/>
      </w:divBdr>
    </w:div>
    <w:div w:id="1564682144">
      <w:bodyDiv w:val="1"/>
      <w:marLeft w:val="0"/>
      <w:marRight w:val="0"/>
      <w:marTop w:val="0"/>
      <w:marBottom w:val="0"/>
      <w:divBdr>
        <w:top w:val="none" w:sz="0" w:space="0" w:color="auto"/>
        <w:left w:val="none" w:sz="0" w:space="0" w:color="auto"/>
        <w:bottom w:val="none" w:sz="0" w:space="0" w:color="auto"/>
        <w:right w:val="none" w:sz="0" w:space="0" w:color="auto"/>
      </w:divBdr>
    </w:div>
    <w:div w:id="1700928767">
      <w:bodyDiv w:val="1"/>
      <w:marLeft w:val="0"/>
      <w:marRight w:val="0"/>
      <w:marTop w:val="0"/>
      <w:marBottom w:val="0"/>
      <w:divBdr>
        <w:top w:val="none" w:sz="0" w:space="0" w:color="auto"/>
        <w:left w:val="none" w:sz="0" w:space="0" w:color="auto"/>
        <w:bottom w:val="none" w:sz="0" w:space="0" w:color="auto"/>
        <w:right w:val="none" w:sz="0" w:space="0" w:color="auto"/>
      </w:divBdr>
    </w:div>
    <w:div w:id="178634594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31086776">
      <w:bodyDiv w:val="1"/>
      <w:marLeft w:val="0"/>
      <w:marRight w:val="0"/>
      <w:marTop w:val="0"/>
      <w:marBottom w:val="0"/>
      <w:divBdr>
        <w:top w:val="none" w:sz="0" w:space="0" w:color="auto"/>
        <w:left w:val="none" w:sz="0" w:space="0" w:color="auto"/>
        <w:bottom w:val="none" w:sz="0" w:space="0" w:color="auto"/>
        <w:right w:val="none" w:sz="0" w:space="0" w:color="auto"/>
      </w:divBdr>
    </w:div>
    <w:div w:id="195620717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23214/https://cpcb.nic.in/rules-4/"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22725/https://moef.gov.in/storage/tender/GSR201(E)-%5B14032024%5D-Plastic-Waste-Mangement-Rules-2024.pdf"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8133559/https://alephindia.in/cpcb-issues-notices-for-non-compliance-with-plastic-waste-management-rules.ph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08133042/https://www.thehindu.com/news/national/tamil-nadu/pathetic-implementation-of-ban-on-single-use-plastics-says-ngt/article37452181.ec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94</Pages>
  <Words>22875</Words>
  <Characters>130394</Characters>
  <Application>Microsoft Office Word</Application>
  <DocSecurity>0</DocSecurity>
  <Lines>1086</Lines>
  <Paragraphs>305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Vihaan Pathak</cp:lastModifiedBy>
  <cp:revision>12</cp:revision>
  <cp:lastPrinted>2025-03-21T00:14:00Z</cp:lastPrinted>
  <dcterms:created xsi:type="dcterms:W3CDTF">2025-07-07T08:01:00Z</dcterms:created>
  <dcterms:modified xsi:type="dcterms:W3CDTF">2025-07-08T16:17:00Z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